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E" w:rsidRDefault="00000949">
      <w:pPr>
        <w:pStyle w:val="1"/>
        <w:framePr w:w="9350" w:h="14115" w:hRule="exact" w:wrap="around" w:vAnchor="page" w:hAnchor="page" w:x="1267" w:y="1530"/>
        <w:shd w:val="clear" w:color="auto" w:fill="auto"/>
        <w:ind w:right="40"/>
      </w:pPr>
      <w:r>
        <w:t>ПЕРЕЧЕНЬ</w:t>
      </w:r>
    </w:p>
    <w:p w:rsidR="00264A38" w:rsidRDefault="00000949" w:rsidP="00264A38">
      <w:pPr>
        <w:pStyle w:val="1"/>
        <w:framePr w:w="9350" w:h="14115" w:hRule="exact" w:wrap="around" w:vAnchor="page" w:hAnchor="page" w:x="1267" w:y="1530"/>
        <w:shd w:val="clear" w:color="auto" w:fill="auto"/>
        <w:ind w:right="40"/>
      </w:pPr>
      <w:r>
        <w:t xml:space="preserve">СТОМАТОЛОГИЧЕСКИХ МАТЕРИАЛОВ ДЛЯ ИСПОЛЬЗОВАНИЯ МЕДИЦИНСКИМИ ОРГАНИЗАЦИЯМИ, РАБОТАЮЩИМИ В СИСТЕМЕ ОБЯЗАТЕЛЬНОГО МЕДИЦИНСКОГО СТРАХОВАНИЯ ПЕРМСКОГО КРАЯ, ПРИ ОКАЗАНИИ МЕДИЦИНСКОЙ ПОМОЩИ В РАМКАХ ТЕРРИТОРИАЛЬНОЙ </w:t>
      </w:r>
      <w:r>
        <w:rPr>
          <w:rStyle w:val="0pt"/>
        </w:rPr>
        <w:t xml:space="preserve">ПРОГРАММЫ </w:t>
      </w:r>
      <w:r>
        <w:t xml:space="preserve">ГОСУДАРСТВЕННЫХ ГАРАНТИЙ </w:t>
      </w:r>
      <w:r>
        <w:rPr>
          <w:rStyle w:val="0pt"/>
        </w:rPr>
        <w:t xml:space="preserve">БЕСПЛАТНОГО </w:t>
      </w:r>
      <w:r>
        <w:t xml:space="preserve">ОКАЗАНИЯ ГРАЖДАНАМ </w:t>
      </w:r>
      <w:r>
        <w:rPr>
          <w:rStyle w:val="0pt"/>
        </w:rPr>
        <w:t xml:space="preserve">МЕДИЦИНСКОЙ </w:t>
      </w:r>
      <w:r>
        <w:t>ПОМОЩИ НА 201</w:t>
      </w:r>
      <w:r w:rsidR="00264A38">
        <w:t>5</w:t>
      </w:r>
      <w:r>
        <w:t xml:space="preserve"> ГОД</w:t>
      </w:r>
    </w:p>
    <w:p w:rsidR="004A377E" w:rsidRDefault="00000949" w:rsidP="00264A38">
      <w:pPr>
        <w:pStyle w:val="1"/>
        <w:framePr w:w="9350" w:h="14115" w:hRule="exact" w:wrap="around" w:vAnchor="page" w:hAnchor="page" w:x="1267" w:y="1530"/>
        <w:shd w:val="clear" w:color="auto" w:fill="auto"/>
        <w:ind w:right="40"/>
      </w:pPr>
      <w:r>
        <w:t>Пломбировочные материалы: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right="60" w:firstLine="500"/>
        <w:jc w:val="left"/>
      </w:pPr>
      <w:r>
        <w:t xml:space="preserve"> Композиционные материалы светового отверждения (для фронтальной группы зубов и премоляров).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right="60" w:firstLine="500"/>
        <w:jc w:val="left"/>
      </w:pPr>
      <w:r>
        <w:t xml:space="preserve"> Композиционные материалы химического отверждения.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Цементы стоматологические: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2"/>
        </w:numPr>
        <w:shd w:val="clear" w:color="auto" w:fill="auto"/>
        <w:spacing w:line="408" w:lineRule="exact"/>
        <w:ind w:left="100" w:firstLine="500"/>
        <w:jc w:val="left"/>
      </w:pPr>
      <w:r>
        <w:t xml:space="preserve"> силикофосфатные,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2"/>
        </w:numPr>
        <w:shd w:val="clear" w:color="auto" w:fill="auto"/>
        <w:spacing w:line="408" w:lineRule="exact"/>
        <w:ind w:left="100" w:firstLine="500"/>
        <w:jc w:val="left"/>
      </w:pPr>
      <w:r>
        <w:t xml:space="preserve"> поликарбоксилатные,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2"/>
        </w:numPr>
        <w:shd w:val="clear" w:color="auto" w:fill="auto"/>
        <w:spacing w:line="408" w:lineRule="exact"/>
        <w:ind w:left="100" w:firstLine="500"/>
        <w:jc w:val="left"/>
      </w:pPr>
      <w:r>
        <w:t xml:space="preserve"> стекло иономерные,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2"/>
        </w:numPr>
        <w:shd w:val="clear" w:color="auto" w:fill="auto"/>
        <w:spacing w:line="408" w:lineRule="exact"/>
        <w:ind w:left="100" w:firstLine="500"/>
        <w:jc w:val="left"/>
      </w:pPr>
      <w:r>
        <w:t xml:space="preserve"> цинкофосфатные.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Амальгамы.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Временные пломбировочные материалы.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Материалы для лечения осложненного кариеса.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1"/>
        </w:numPr>
        <w:shd w:val="clear" w:color="auto" w:fill="auto"/>
        <w:spacing w:line="408" w:lineRule="exact"/>
        <w:ind w:left="100" w:right="60" w:firstLine="500"/>
        <w:jc w:val="left"/>
      </w:pPr>
      <w:r>
        <w:t xml:space="preserve"> Средства для лечения заболеваний пародонта и слизистой оболочки полости рта.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0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Материалы, используемые с профилактической целью: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Фторсодержащие лаки.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Пасты.</w:t>
      </w:r>
    </w:p>
    <w:p w:rsidR="004A377E" w:rsidRDefault="00000949">
      <w:pPr>
        <w:pStyle w:val="1"/>
        <w:framePr w:w="9350" w:h="14115" w:hRule="exact" w:wrap="around" w:vAnchor="page" w:hAnchor="page" w:x="1267" w:y="1530"/>
        <w:numPr>
          <w:ilvl w:val="1"/>
          <w:numId w:val="1"/>
        </w:numPr>
        <w:shd w:val="clear" w:color="auto" w:fill="auto"/>
        <w:spacing w:line="408" w:lineRule="exact"/>
        <w:ind w:left="100" w:firstLine="500"/>
        <w:jc w:val="left"/>
      </w:pPr>
      <w:r>
        <w:t xml:space="preserve"> Гели.</w:t>
      </w:r>
    </w:p>
    <w:p w:rsidR="004A377E" w:rsidRDefault="004A377E" w:rsidP="00264A38">
      <w:pPr>
        <w:pStyle w:val="20"/>
        <w:framePr w:w="9350" w:h="14115" w:hRule="exact" w:wrap="around" w:vAnchor="page" w:hAnchor="page" w:x="1267" w:y="1530"/>
        <w:shd w:val="clear" w:color="auto" w:fill="auto"/>
        <w:spacing w:line="80" w:lineRule="exact"/>
      </w:pPr>
    </w:p>
    <w:p w:rsidR="004A377E" w:rsidRDefault="00000949">
      <w:pPr>
        <w:pStyle w:val="1"/>
        <w:framePr w:w="9350" w:h="14115" w:hRule="exact" w:wrap="around" w:vAnchor="page" w:hAnchor="page" w:x="1267" w:y="1530"/>
        <w:shd w:val="clear" w:color="auto" w:fill="auto"/>
        <w:spacing w:line="340" w:lineRule="exact"/>
        <w:ind w:left="360"/>
        <w:jc w:val="left"/>
      </w:pPr>
      <w:r>
        <w:t xml:space="preserve"> </w:t>
      </w:r>
      <w:r w:rsidR="00264A38">
        <w:t xml:space="preserve">  </w:t>
      </w:r>
      <w:r>
        <w:t>4.4. Герметики.</w:t>
      </w:r>
    </w:p>
    <w:p w:rsidR="004A377E" w:rsidRDefault="004A377E">
      <w:pPr>
        <w:rPr>
          <w:sz w:val="2"/>
          <w:szCs w:val="2"/>
        </w:rPr>
      </w:pPr>
    </w:p>
    <w:sectPr w:rsidR="004A377E" w:rsidSect="004A37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B6" w:rsidRDefault="00155BB6" w:rsidP="004A377E">
      <w:r>
        <w:separator/>
      </w:r>
    </w:p>
  </w:endnote>
  <w:endnote w:type="continuationSeparator" w:id="0">
    <w:p w:rsidR="00155BB6" w:rsidRDefault="00155BB6" w:rsidP="004A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B6" w:rsidRDefault="00155BB6"/>
  </w:footnote>
  <w:footnote w:type="continuationSeparator" w:id="0">
    <w:p w:rsidR="00155BB6" w:rsidRDefault="00155B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888"/>
    <w:multiLevelType w:val="multilevel"/>
    <w:tmpl w:val="50843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01D6B"/>
    <w:multiLevelType w:val="multilevel"/>
    <w:tmpl w:val="AF7A8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377E"/>
    <w:rsid w:val="00000949"/>
    <w:rsid w:val="00155BB6"/>
    <w:rsid w:val="00264A38"/>
    <w:rsid w:val="004A377E"/>
    <w:rsid w:val="00BC63D9"/>
    <w:rsid w:val="00E71596"/>
    <w:rsid w:val="00F8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77E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77E"/>
    <w:rPr>
      <w:color w:val="0066CC"/>
      <w:u w:val="single"/>
    </w:rPr>
  </w:style>
  <w:style w:type="character" w:customStyle="1" w:styleId="a4">
    <w:name w:val="Основной текст_"/>
    <w:link w:val="1"/>
    <w:rsid w:val="004A3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4"/>
      <w:szCs w:val="34"/>
      <w:u w:val="none"/>
    </w:rPr>
  </w:style>
  <w:style w:type="character" w:customStyle="1" w:styleId="0pt">
    <w:name w:val="Основной текст + Интервал 0 pt"/>
    <w:rsid w:val="004A3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A377E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Курсив"/>
    <w:rsid w:val="004A377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A377E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pacing w:val="1"/>
      <w:sz w:val="34"/>
      <w:szCs w:val="34"/>
    </w:rPr>
  </w:style>
  <w:style w:type="paragraph" w:customStyle="1" w:styleId="20">
    <w:name w:val="Основной текст (2)"/>
    <w:basedOn w:val="a"/>
    <w:link w:val="2"/>
    <w:rsid w:val="004A377E"/>
    <w:pPr>
      <w:shd w:val="clear" w:color="auto" w:fill="FFFFFF"/>
      <w:spacing w:line="0" w:lineRule="atLeast"/>
    </w:pPr>
    <w:rPr>
      <w:rFonts w:ascii="Gulim" w:eastAsia="Gulim" w:hAnsi="Gulim" w:cs="Gulim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Андрей</cp:lastModifiedBy>
  <cp:revision>2</cp:revision>
  <cp:lastPrinted>2015-02-20T04:45:00Z</cp:lastPrinted>
  <dcterms:created xsi:type="dcterms:W3CDTF">2016-12-19T13:18:00Z</dcterms:created>
  <dcterms:modified xsi:type="dcterms:W3CDTF">2016-12-19T13:18:00Z</dcterms:modified>
</cp:coreProperties>
</file>